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E960" w14:textId="2F2C9D07" w:rsidR="00CD1E04" w:rsidRDefault="00CD1E04" w:rsidP="00CD1E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4"/>
          <w:szCs w:val="44"/>
        </w:rPr>
      </w:pPr>
      <w:r w:rsidRPr="00CD1E04">
        <w:rPr>
          <w:rFonts w:ascii="TimesNewRomanPSMT" w:hAnsi="TimesNewRomanPSMT" w:cs="TimesNewRomanPSMT"/>
          <w:sz w:val="44"/>
          <w:szCs w:val="44"/>
        </w:rPr>
        <w:t>O Z N Á M E N Í</w:t>
      </w:r>
    </w:p>
    <w:p w14:paraId="5D90E5A4" w14:textId="1AC6A517" w:rsidR="00644031" w:rsidRDefault="00644031" w:rsidP="00CD1E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4"/>
          <w:szCs w:val="44"/>
        </w:rPr>
      </w:pPr>
    </w:p>
    <w:p w14:paraId="51B81508" w14:textId="77777777" w:rsidR="00644031" w:rsidRDefault="00644031" w:rsidP="00CD1E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4"/>
          <w:szCs w:val="44"/>
        </w:rPr>
      </w:pPr>
    </w:p>
    <w:p w14:paraId="331B78D6" w14:textId="77777777" w:rsidR="00CD1E04" w:rsidRPr="00CD1E04" w:rsidRDefault="00CD1E04" w:rsidP="00CD1E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A99DAED" w14:textId="1E0BBE28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CD1E04">
        <w:rPr>
          <w:rFonts w:ascii="TimesNewRomanPSMT" w:hAnsi="TimesNewRomanPSMT" w:cs="TimesNewRomanPSMT"/>
          <w:sz w:val="32"/>
          <w:szCs w:val="32"/>
        </w:rPr>
        <w:t xml:space="preserve">Tímto oznamujeme, že </w:t>
      </w:r>
      <w:r w:rsidRPr="00CD1E04">
        <w:rPr>
          <w:rFonts w:ascii="TimesNewRomanPSMT" w:hAnsi="TimesNewRomanPSMT" w:cs="TimesNewRomanPSMT"/>
          <w:sz w:val="32"/>
          <w:szCs w:val="32"/>
        </w:rPr>
        <w:t>návrh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koncepce </w:t>
      </w:r>
      <w:r w:rsidRPr="00CD1E04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„Program rozvoje Karlovarského kraje 2021-2027“ </w:t>
      </w:r>
      <w:r w:rsidRPr="00CD1E04">
        <w:rPr>
          <w:rFonts w:ascii="TimesNewRomanPSMT" w:hAnsi="TimesNewRomanPSMT" w:cs="TimesNewRomanPSMT"/>
          <w:sz w:val="32"/>
          <w:szCs w:val="32"/>
        </w:rPr>
        <w:t>včetně vyhodnocení vlivů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>koncepce na životní prostředí a veřejné zdraví (dále též „návrh koncepce“) je k dispozici v Informačním systému SEA na internetových stránkách</w:t>
      </w:r>
    </w:p>
    <w:p w14:paraId="438ACDBC" w14:textId="3F0390E5" w:rsidR="00644031" w:rsidRDefault="00644031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5B1D91B9" w14:textId="77777777" w:rsidR="00644031" w:rsidRPr="00CD1E04" w:rsidRDefault="00644031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2B7098A1" w14:textId="77E326B1" w:rsidR="00CD1E04" w:rsidRP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CD1E04">
        <w:rPr>
          <w:rFonts w:ascii="TimesNewRomanPSMT" w:hAnsi="TimesNewRomanPSMT" w:cs="TimesNewRomanPSMT"/>
          <w:sz w:val="32"/>
          <w:szCs w:val="32"/>
        </w:rPr>
        <w:t xml:space="preserve">http://portal.cenia.cz/eiasea/view/sea100_koncepce pod kódem koncepce </w:t>
      </w:r>
      <w:r w:rsidRPr="00CD1E04">
        <w:rPr>
          <w:rFonts w:ascii="TimesNewRomanPS-BoldMT" w:hAnsi="TimesNewRomanPS-BoldMT" w:cs="TimesNewRomanPS-BoldMT"/>
          <w:b/>
          <w:bCs/>
          <w:sz w:val="32"/>
          <w:szCs w:val="32"/>
        </w:rPr>
        <w:t>KVK014K</w:t>
      </w:r>
      <w:r w:rsidRPr="00CD1E04">
        <w:rPr>
          <w:rFonts w:ascii="TimesNewRomanPSMT" w:hAnsi="TimesNewRomanPSMT" w:cs="TimesNewRomanPSMT"/>
          <w:sz w:val="32"/>
          <w:szCs w:val="32"/>
        </w:rPr>
        <w:t>.</w:t>
      </w:r>
    </w:p>
    <w:p w14:paraId="45F03BD7" w14:textId="77777777" w:rsidR="00CD1E04" w:rsidRP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7198219E" w14:textId="46604FD3" w:rsidR="00CD1E04" w:rsidRP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CD1E04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14:paraId="69094FC1" w14:textId="40597BEA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CD1E04">
        <w:rPr>
          <w:rFonts w:ascii="TimesNewRomanPSMT" w:hAnsi="TimesNewRomanPSMT" w:cs="TimesNewRomanPSMT"/>
          <w:sz w:val="32"/>
          <w:szCs w:val="32"/>
        </w:rPr>
        <w:t>Ve smyslu § 10f odst. 4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zákona může </w:t>
      </w:r>
      <w:r w:rsidRPr="00CD1E04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každý zaslat své písemné vyjádření </w:t>
      </w:r>
      <w:r w:rsidRPr="00CD1E04">
        <w:rPr>
          <w:rFonts w:ascii="TimesNewRomanPSMT" w:hAnsi="TimesNewRomanPSMT" w:cs="TimesNewRomanPSMT"/>
          <w:sz w:val="32"/>
          <w:szCs w:val="32"/>
        </w:rPr>
        <w:t>k návrhu koncepce našemu (příslušnému)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>úřadu nejpozději do 5 dnů ode dne konání veřejného projednání návrhu koncepce. Veřejné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>projednání koncepce nemůže být konáno dříve než 13. 8. 2021. Podle předběžných informací se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>veřejné projednání bude konat dne 13. 8. 2021 od 13:00 hod. v zastupitelském sále Krajského</w:t>
      </w:r>
      <w:r w:rsidRPr="00CD1E04">
        <w:rPr>
          <w:rFonts w:ascii="TimesNewRomanPSMT" w:hAnsi="TimesNewRomanPSMT" w:cs="TimesNewRomanPSMT"/>
          <w:sz w:val="32"/>
          <w:szCs w:val="32"/>
        </w:rPr>
        <w:t xml:space="preserve"> </w:t>
      </w:r>
      <w:r w:rsidRPr="00CD1E04">
        <w:rPr>
          <w:rFonts w:ascii="TimesNewRomanPSMT" w:hAnsi="TimesNewRomanPSMT" w:cs="TimesNewRomanPSMT"/>
          <w:sz w:val="32"/>
          <w:szCs w:val="32"/>
        </w:rPr>
        <w:t>úřadu Karlovarského kraje.</w:t>
      </w:r>
    </w:p>
    <w:p w14:paraId="43F39C9F" w14:textId="1EFE2A32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17A581CE" w14:textId="437173CF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727499F9" w14:textId="7E43D41F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0B2DB468" w14:textId="5F1EA75C" w:rsidR="00CD1E04" w:rsidRDefault="00644031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Jiřina Vrábelová</w:t>
      </w:r>
    </w:p>
    <w:p w14:paraId="36075634" w14:textId="5282E44D" w:rsidR="00644031" w:rsidRDefault="00644031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027D4EE5" w14:textId="77777777" w:rsidR="00644031" w:rsidRDefault="00644031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bookmarkStart w:id="0" w:name="_GoBack"/>
      <w:bookmarkEnd w:id="0"/>
    </w:p>
    <w:p w14:paraId="79BFBA36" w14:textId="4B57AA6B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7D31ADFF" w14:textId="75ED1BC0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244E885E" w14:textId="13ECD65B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Vyvěšeno: 22.7.2021</w:t>
      </w:r>
    </w:p>
    <w:p w14:paraId="7FE80BB0" w14:textId="68A57955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Sejmuto</w:t>
      </w:r>
      <w:r w:rsidR="00644031">
        <w:rPr>
          <w:rFonts w:ascii="TimesNewRomanPSMT" w:hAnsi="TimesNewRomanPSMT" w:cs="TimesNewRomanPSMT"/>
          <w:sz w:val="32"/>
          <w:szCs w:val="32"/>
        </w:rPr>
        <w:t>:</w:t>
      </w:r>
    </w:p>
    <w:p w14:paraId="6E035C7D" w14:textId="12001855" w:rsid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p w14:paraId="28B21E2B" w14:textId="77777777" w:rsidR="00CD1E04" w:rsidRPr="00CD1E04" w:rsidRDefault="00CD1E04" w:rsidP="00CD1E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</w:rPr>
      </w:pPr>
    </w:p>
    <w:sectPr w:rsidR="00CD1E04" w:rsidRPr="00CD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A7"/>
    <w:rsid w:val="00644031"/>
    <w:rsid w:val="00CD1E04"/>
    <w:rsid w:val="00D975F4"/>
    <w:rsid w:val="00E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DC18"/>
  <w15:chartTrackingRefBased/>
  <w15:docId w15:val="{A676313D-336F-4F7A-8053-4FADA7D5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1E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2021-07-22T15:27:00Z</dcterms:created>
  <dcterms:modified xsi:type="dcterms:W3CDTF">2021-07-22T15:27:00Z</dcterms:modified>
</cp:coreProperties>
</file>